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97B77C">
      <w:pPr>
        <w:jc w:val="center"/>
        <w:outlineLvl w:val="0"/>
        <w:rPr>
          <w:rFonts w:cs="微软雅黑" w:asciiTheme="majorEastAsia" w:hAnsiTheme="majorEastAsia" w:eastAsiaTheme="majorEastAsia"/>
          <w:b/>
          <w:sz w:val="28"/>
          <w:szCs w:val="28"/>
        </w:rPr>
      </w:pPr>
      <w:r>
        <w:rPr>
          <w:rFonts w:hint="eastAsia" w:cs="微软雅黑" w:asciiTheme="majorEastAsia" w:hAnsiTheme="majorEastAsia" w:eastAsiaTheme="majorEastAsia"/>
          <w:b/>
          <w:sz w:val="28"/>
          <w:szCs w:val="28"/>
        </w:rPr>
        <w:t>投标样品要求</w:t>
      </w:r>
    </w:p>
    <w:p w14:paraId="3D033A3B">
      <w:pPr>
        <w:spacing w:line="360" w:lineRule="auto"/>
        <w:outlineLvl w:val="0"/>
        <w:rPr>
          <w:rFonts w:cs="微软雅黑" w:asciiTheme="majorEastAsia" w:hAnsiTheme="majorEastAsia" w:eastAsiaTheme="majorEastAsia"/>
          <w:b/>
          <w:kern w:val="0"/>
          <w:sz w:val="24"/>
          <w:szCs w:val="20"/>
        </w:rPr>
      </w:pPr>
      <w:r>
        <w:rPr>
          <w:rFonts w:hint="eastAsia" w:cs="微软雅黑" w:asciiTheme="majorEastAsia" w:hAnsiTheme="majorEastAsia" w:eastAsiaTheme="majorEastAsia"/>
          <w:b/>
          <w:kern w:val="0"/>
          <w:sz w:val="24"/>
          <w:szCs w:val="20"/>
        </w:rPr>
        <w:t>1、评标样品</w:t>
      </w:r>
    </w:p>
    <w:p w14:paraId="3FDDC299">
      <w:pPr>
        <w:numPr>
          <w:ilvl w:val="0"/>
          <w:numId w:val="1"/>
        </w:numPr>
        <w:spacing w:line="360" w:lineRule="auto"/>
        <w:ind w:firstLine="420" w:firstLineChars="200"/>
        <w:jc w:val="center"/>
        <w:rPr>
          <w:rFonts w:cs="微软雅黑" w:asciiTheme="majorEastAsia" w:hAnsiTheme="majorEastAsia" w:eastAsiaTheme="majorEastAsia"/>
          <w:kern w:val="0"/>
          <w:szCs w:val="21"/>
        </w:rPr>
      </w:pPr>
      <w:r>
        <w:rPr>
          <w:rFonts w:hint="eastAsia" w:cs="微软雅黑" w:asciiTheme="majorEastAsia" w:hAnsiTheme="majorEastAsia" w:eastAsiaTheme="majorEastAsia"/>
          <w:kern w:val="0"/>
          <w:szCs w:val="21"/>
        </w:rPr>
        <w:t>表</w:t>
      </w:r>
      <w:r>
        <w:rPr>
          <w:rFonts w:cs="微软雅黑" w:asciiTheme="majorEastAsia" w:hAnsiTheme="majorEastAsia" w:eastAsiaTheme="majorEastAsia"/>
          <w:kern w:val="0"/>
          <w:szCs w:val="21"/>
        </w:rPr>
        <w:t xml:space="preserve">1   </w:t>
      </w:r>
      <w:r>
        <w:rPr>
          <w:rFonts w:hint="eastAsia" w:cs="微软雅黑" w:asciiTheme="majorEastAsia" w:hAnsiTheme="majorEastAsia" w:eastAsiaTheme="majorEastAsia"/>
          <w:kern w:val="0"/>
          <w:szCs w:val="21"/>
        </w:rPr>
        <w:t>防静电地板送样清单表及样品要求</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2"/>
        <w:gridCol w:w="7760"/>
      </w:tblGrid>
      <w:tr w14:paraId="7313E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47" w:type="pct"/>
            <w:tcBorders>
              <w:top w:val="single" w:color="auto" w:sz="4" w:space="0"/>
              <w:left w:val="single" w:color="auto" w:sz="4" w:space="0"/>
              <w:bottom w:val="single" w:color="auto" w:sz="4" w:space="0"/>
              <w:right w:val="single" w:color="auto" w:sz="4" w:space="0"/>
            </w:tcBorders>
            <w:vAlign w:val="center"/>
          </w:tcPr>
          <w:p w14:paraId="397F4744">
            <w:pPr>
              <w:spacing w:line="360" w:lineRule="auto"/>
              <w:rPr>
                <w:rFonts w:cs="微软雅黑" w:asciiTheme="majorEastAsia" w:hAnsiTheme="majorEastAsia" w:eastAsiaTheme="majorEastAsia"/>
                <w:b/>
                <w:bCs/>
                <w:kern w:val="0"/>
                <w:szCs w:val="21"/>
              </w:rPr>
            </w:pPr>
            <w:r>
              <w:rPr>
                <w:rFonts w:hint="eastAsia" w:cs="微软雅黑" w:asciiTheme="majorEastAsia" w:hAnsiTheme="majorEastAsia" w:eastAsiaTheme="majorEastAsia"/>
                <w:b/>
                <w:bCs/>
                <w:kern w:val="0"/>
                <w:szCs w:val="21"/>
              </w:rPr>
              <w:t>序号</w:t>
            </w:r>
          </w:p>
        </w:tc>
        <w:tc>
          <w:tcPr>
            <w:tcW w:w="4553" w:type="pct"/>
            <w:tcBorders>
              <w:top w:val="single" w:color="auto" w:sz="4" w:space="0"/>
              <w:left w:val="single" w:color="auto" w:sz="4" w:space="0"/>
              <w:bottom w:val="single" w:color="auto" w:sz="4" w:space="0"/>
              <w:right w:val="single" w:color="auto" w:sz="4" w:space="0"/>
            </w:tcBorders>
            <w:vAlign w:val="center"/>
          </w:tcPr>
          <w:p w14:paraId="62DDD3D1">
            <w:pPr>
              <w:spacing w:line="360" w:lineRule="auto"/>
              <w:jc w:val="left"/>
              <w:rPr>
                <w:rFonts w:cs="微软雅黑" w:asciiTheme="majorEastAsia" w:hAnsiTheme="majorEastAsia" w:eastAsiaTheme="majorEastAsia"/>
                <w:b/>
                <w:bCs/>
                <w:kern w:val="0"/>
                <w:szCs w:val="21"/>
              </w:rPr>
            </w:pPr>
            <w:r>
              <w:rPr>
                <w:rFonts w:hint="eastAsia" w:cs="微软雅黑" w:asciiTheme="majorEastAsia" w:hAnsiTheme="majorEastAsia" w:eastAsiaTheme="majorEastAsia"/>
                <w:b/>
                <w:bCs/>
                <w:kern w:val="0"/>
                <w:szCs w:val="21"/>
              </w:rPr>
              <w:t>送样清单及样品要求</w:t>
            </w:r>
          </w:p>
        </w:tc>
      </w:tr>
      <w:tr w14:paraId="7ECCF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47" w:type="pct"/>
            <w:tcBorders>
              <w:top w:val="single" w:color="auto" w:sz="4" w:space="0"/>
              <w:left w:val="single" w:color="auto" w:sz="4" w:space="0"/>
              <w:bottom w:val="single" w:color="auto" w:sz="4" w:space="0"/>
              <w:right w:val="single" w:color="auto" w:sz="4" w:space="0"/>
            </w:tcBorders>
            <w:vAlign w:val="center"/>
          </w:tcPr>
          <w:p w14:paraId="5E0A5286">
            <w:pPr>
              <w:spacing w:line="360" w:lineRule="auto"/>
              <w:ind w:firstLine="420" w:firstLineChars="200"/>
              <w:rPr>
                <w:rFonts w:cs="微软雅黑" w:asciiTheme="majorEastAsia" w:hAnsiTheme="majorEastAsia" w:eastAsiaTheme="majorEastAsia"/>
                <w:kern w:val="0"/>
                <w:szCs w:val="21"/>
              </w:rPr>
            </w:pPr>
            <w:r>
              <w:rPr>
                <w:rFonts w:cs="微软雅黑" w:asciiTheme="majorEastAsia" w:hAnsiTheme="majorEastAsia" w:eastAsiaTheme="majorEastAsia"/>
                <w:kern w:val="0"/>
                <w:szCs w:val="21"/>
              </w:rPr>
              <w:t>1</w:t>
            </w:r>
          </w:p>
        </w:tc>
        <w:tc>
          <w:tcPr>
            <w:tcW w:w="4553" w:type="pct"/>
            <w:tcBorders>
              <w:top w:val="single" w:color="auto" w:sz="4" w:space="0"/>
              <w:left w:val="single" w:color="auto" w:sz="4" w:space="0"/>
              <w:bottom w:val="single" w:color="auto" w:sz="4" w:space="0"/>
              <w:right w:val="single" w:color="auto" w:sz="4" w:space="0"/>
            </w:tcBorders>
            <w:vAlign w:val="center"/>
          </w:tcPr>
          <w:p w14:paraId="4D0CCACD">
            <w:pPr>
              <w:spacing w:line="360" w:lineRule="auto"/>
              <w:jc w:val="left"/>
              <w:rPr>
                <w:rFonts w:cs="微软雅黑" w:asciiTheme="majorEastAsia" w:hAnsiTheme="majorEastAsia" w:eastAsiaTheme="majorEastAsia"/>
                <w:kern w:val="0"/>
                <w:szCs w:val="21"/>
              </w:rPr>
            </w:pPr>
            <w:r>
              <w:rPr>
                <w:rFonts w:hint="eastAsia"/>
              </w:rPr>
              <w:t>硫酸钙防静电地板</w:t>
            </w:r>
            <w:r>
              <w:t>1块</w:t>
            </w:r>
            <w:r>
              <w:rPr>
                <w:rFonts w:hint="eastAsia" w:cs="微软雅黑" w:asciiTheme="majorEastAsia" w:hAnsiTheme="majorEastAsia" w:eastAsiaTheme="majorEastAsia"/>
                <w:kern w:val="0"/>
                <w:szCs w:val="21"/>
              </w:rPr>
              <w:t>：</w:t>
            </w:r>
            <w:bookmarkStart w:id="0" w:name="OLE_LINK7"/>
            <w:r>
              <w:rPr>
                <w:rFonts w:hint="eastAsia" w:cs="微软雅黑" w:asciiTheme="majorEastAsia" w:hAnsiTheme="majorEastAsia" w:eastAsiaTheme="majorEastAsia"/>
                <w:kern w:val="0"/>
                <w:szCs w:val="21"/>
              </w:rPr>
              <w:t>尺寸为</w:t>
            </w:r>
            <w:r>
              <w:t>600mm*600mm</w:t>
            </w:r>
            <w:bookmarkEnd w:id="0"/>
            <w:r>
              <w:rPr>
                <w:rFonts w:hint="eastAsia" w:cs="微软雅黑" w:asciiTheme="majorEastAsia" w:hAnsiTheme="majorEastAsia" w:eastAsiaTheme="majorEastAsia"/>
                <w:kern w:val="0"/>
                <w:szCs w:val="21"/>
              </w:rPr>
              <w:t>。</w:t>
            </w:r>
          </w:p>
        </w:tc>
      </w:tr>
      <w:tr w14:paraId="42649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47" w:type="pct"/>
            <w:tcBorders>
              <w:top w:val="single" w:color="auto" w:sz="4" w:space="0"/>
              <w:left w:val="single" w:color="auto" w:sz="4" w:space="0"/>
              <w:bottom w:val="single" w:color="auto" w:sz="4" w:space="0"/>
              <w:right w:val="single" w:color="auto" w:sz="4" w:space="0"/>
            </w:tcBorders>
            <w:vAlign w:val="center"/>
          </w:tcPr>
          <w:p w14:paraId="18638BA0">
            <w:pPr>
              <w:spacing w:line="360" w:lineRule="auto"/>
              <w:ind w:firstLine="420" w:firstLineChars="200"/>
              <w:rPr>
                <w:rFonts w:cs="微软雅黑" w:asciiTheme="majorEastAsia" w:hAnsiTheme="majorEastAsia" w:eastAsiaTheme="majorEastAsia"/>
                <w:kern w:val="0"/>
                <w:szCs w:val="21"/>
              </w:rPr>
            </w:pPr>
            <w:r>
              <w:rPr>
                <w:rFonts w:cs="微软雅黑" w:asciiTheme="majorEastAsia" w:hAnsiTheme="majorEastAsia" w:eastAsiaTheme="majorEastAsia"/>
                <w:kern w:val="0"/>
                <w:szCs w:val="21"/>
              </w:rPr>
              <w:t>2</w:t>
            </w:r>
          </w:p>
        </w:tc>
        <w:tc>
          <w:tcPr>
            <w:tcW w:w="4553" w:type="pct"/>
            <w:tcBorders>
              <w:top w:val="single" w:color="auto" w:sz="4" w:space="0"/>
              <w:left w:val="single" w:color="auto" w:sz="4" w:space="0"/>
              <w:bottom w:val="single" w:color="auto" w:sz="4" w:space="0"/>
              <w:right w:val="single" w:color="auto" w:sz="4" w:space="0"/>
            </w:tcBorders>
            <w:vAlign w:val="center"/>
          </w:tcPr>
          <w:p w14:paraId="3DF02FC0">
            <w:pPr>
              <w:spacing w:line="360" w:lineRule="auto"/>
              <w:jc w:val="left"/>
              <w:rPr>
                <w:rFonts w:cs="微软雅黑" w:asciiTheme="majorEastAsia" w:hAnsiTheme="majorEastAsia" w:eastAsiaTheme="majorEastAsia"/>
                <w:kern w:val="0"/>
                <w:szCs w:val="21"/>
              </w:rPr>
            </w:pPr>
            <w:r>
              <w:rPr>
                <w:rFonts w:hint="eastAsia"/>
              </w:rPr>
              <w:t>防静电</w:t>
            </w:r>
            <w:r>
              <w:t>通风地板1块</w:t>
            </w:r>
            <w:r>
              <w:rPr>
                <w:rFonts w:hint="eastAsia" w:cs="微软雅黑" w:asciiTheme="majorEastAsia" w:hAnsiTheme="majorEastAsia" w:eastAsiaTheme="majorEastAsia"/>
                <w:kern w:val="0"/>
                <w:szCs w:val="21"/>
              </w:rPr>
              <w:t>：尺寸为</w:t>
            </w:r>
            <w:r>
              <w:t>600mm*600mm</w:t>
            </w:r>
            <w:r>
              <w:rPr>
                <w:rFonts w:hint="eastAsia" w:cs="微软雅黑" w:asciiTheme="majorEastAsia" w:hAnsiTheme="majorEastAsia" w:eastAsiaTheme="majorEastAsia"/>
                <w:kern w:val="0"/>
                <w:szCs w:val="21"/>
              </w:rPr>
              <w:t>。</w:t>
            </w:r>
          </w:p>
        </w:tc>
      </w:tr>
      <w:tr w14:paraId="3588C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47" w:type="pct"/>
            <w:tcBorders>
              <w:top w:val="single" w:color="auto" w:sz="4" w:space="0"/>
              <w:left w:val="single" w:color="auto" w:sz="4" w:space="0"/>
              <w:bottom w:val="single" w:color="auto" w:sz="4" w:space="0"/>
              <w:right w:val="single" w:color="auto" w:sz="4" w:space="0"/>
            </w:tcBorders>
            <w:vAlign w:val="center"/>
          </w:tcPr>
          <w:p w14:paraId="12F61CAE">
            <w:pPr>
              <w:spacing w:line="360" w:lineRule="auto"/>
              <w:ind w:firstLine="420" w:firstLineChars="200"/>
              <w:rPr>
                <w:rFonts w:cs="微软雅黑" w:asciiTheme="majorEastAsia" w:hAnsiTheme="majorEastAsia" w:eastAsiaTheme="majorEastAsia"/>
                <w:kern w:val="0"/>
                <w:szCs w:val="21"/>
              </w:rPr>
            </w:pPr>
            <w:r>
              <w:rPr>
                <w:rFonts w:hint="eastAsia" w:cs="微软雅黑" w:asciiTheme="majorEastAsia" w:hAnsiTheme="majorEastAsia" w:eastAsiaTheme="majorEastAsia"/>
                <w:kern w:val="0"/>
                <w:szCs w:val="21"/>
              </w:rPr>
              <w:t>3</w:t>
            </w:r>
          </w:p>
        </w:tc>
        <w:tc>
          <w:tcPr>
            <w:tcW w:w="4553" w:type="pct"/>
            <w:tcBorders>
              <w:top w:val="single" w:color="auto" w:sz="4" w:space="0"/>
              <w:left w:val="single" w:color="auto" w:sz="4" w:space="0"/>
              <w:bottom w:val="single" w:color="auto" w:sz="4" w:space="0"/>
              <w:right w:val="single" w:color="auto" w:sz="4" w:space="0"/>
            </w:tcBorders>
            <w:vAlign w:val="center"/>
          </w:tcPr>
          <w:p w14:paraId="06B70007">
            <w:pPr>
              <w:spacing w:line="360" w:lineRule="auto"/>
              <w:jc w:val="left"/>
              <w:rPr>
                <w:rFonts w:hint="eastAsia"/>
              </w:rPr>
            </w:pPr>
            <w:r>
              <w:t>支架及横梁样品</w:t>
            </w:r>
            <w:r>
              <w:rPr>
                <w:rFonts w:hint="eastAsia"/>
              </w:rPr>
              <w:t>各</w:t>
            </w:r>
            <w:r>
              <w:t>1套</w:t>
            </w:r>
            <w:r>
              <w:rPr>
                <w:rFonts w:hint="eastAsia"/>
              </w:rPr>
              <w:t>：支架高度6</w:t>
            </w:r>
            <w:r>
              <w:t>00</w:t>
            </w:r>
            <w:r>
              <w:rPr>
                <w:rFonts w:hint="eastAsia"/>
              </w:rPr>
              <w:t>mm，横梁为标准件</w:t>
            </w:r>
          </w:p>
        </w:tc>
      </w:tr>
      <w:tr w14:paraId="39FE0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47" w:type="pct"/>
            <w:tcBorders>
              <w:top w:val="single" w:color="auto" w:sz="4" w:space="0"/>
              <w:left w:val="single" w:color="auto" w:sz="4" w:space="0"/>
              <w:bottom w:val="single" w:color="auto" w:sz="4" w:space="0"/>
              <w:right w:val="single" w:color="auto" w:sz="4" w:space="0"/>
            </w:tcBorders>
            <w:vAlign w:val="center"/>
          </w:tcPr>
          <w:p w14:paraId="28C8A333">
            <w:pPr>
              <w:spacing w:line="360" w:lineRule="auto"/>
              <w:ind w:firstLine="420" w:firstLineChars="200"/>
              <w:rPr>
                <w:rFonts w:cs="微软雅黑" w:asciiTheme="majorEastAsia" w:hAnsiTheme="majorEastAsia" w:eastAsiaTheme="majorEastAsia"/>
                <w:kern w:val="0"/>
                <w:szCs w:val="21"/>
              </w:rPr>
            </w:pPr>
            <w:r>
              <w:rPr>
                <w:rFonts w:cs="微软雅黑" w:asciiTheme="majorEastAsia" w:hAnsiTheme="majorEastAsia" w:eastAsiaTheme="majorEastAsia"/>
                <w:kern w:val="0"/>
                <w:szCs w:val="21"/>
              </w:rPr>
              <w:t>4</w:t>
            </w:r>
          </w:p>
        </w:tc>
        <w:tc>
          <w:tcPr>
            <w:tcW w:w="4553" w:type="pct"/>
            <w:tcBorders>
              <w:top w:val="single" w:color="auto" w:sz="4" w:space="0"/>
              <w:left w:val="single" w:color="auto" w:sz="4" w:space="0"/>
              <w:bottom w:val="single" w:color="auto" w:sz="4" w:space="0"/>
              <w:right w:val="single" w:color="auto" w:sz="4" w:space="0"/>
            </w:tcBorders>
            <w:vAlign w:val="center"/>
          </w:tcPr>
          <w:p w14:paraId="34299320">
            <w:pPr>
              <w:spacing w:line="360" w:lineRule="auto"/>
              <w:jc w:val="left"/>
              <w:rPr>
                <w:rFonts w:cs="微软雅黑" w:asciiTheme="majorEastAsia" w:hAnsiTheme="majorEastAsia" w:eastAsiaTheme="majorEastAsia"/>
                <w:kern w:val="0"/>
                <w:szCs w:val="21"/>
              </w:rPr>
            </w:pPr>
            <w:r>
              <w:rPr>
                <w:rFonts w:hint="eastAsia" w:cs="微软雅黑" w:asciiTheme="majorEastAsia" w:hAnsiTheme="majorEastAsia" w:eastAsiaTheme="majorEastAsia"/>
                <w:kern w:val="0"/>
                <w:szCs w:val="21"/>
              </w:rPr>
              <w:t>样品应依据招标文件技术规范要求配置</w:t>
            </w:r>
          </w:p>
        </w:tc>
      </w:tr>
      <w:tr w14:paraId="1AE53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47" w:type="pct"/>
            <w:tcBorders>
              <w:top w:val="single" w:color="auto" w:sz="4" w:space="0"/>
              <w:left w:val="single" w:color="auto" w:sz="4" w:space="0"/>
              <w:bottom w:val="single" w:color="auto" w:sz="4" w:space="0"/>
              <w:right w:val="single" w:color="auto" w:sz="4" w:space="0"/>
            </w:tcBorders>
            <w:vAlign w:val="center"/>
          </w:tcPr>
          <w:p w14:paraId="2E8074F0">
            <w:pPr>
              <w:spacing w:line="360" w:lineRule="auto"/>
              <w:ind w:firstLine="420" w:firstLineChars="200"/>
              <w:rPr>
                <w:rFonts w:hint="eastAsia" w:cs="微软雅黑" w:asciiTheme="majorEastAsia" w:hAnsiTheme="majorEastAsia" w:eastAsiaTheme="majorEastAsia"/>
                <w:kern w:val="0"/>
                <w:szCs w:val="21"/>
                <w:lang w:eastAsia="zh-CN"/>
              </w:rPr>
            </w:pPr>
            <w:r>
              <w:rPr>
                <w:rFonts w:hint="eastAsia" w:cs="微软雅黑" w:asciiTheme="majorEastAsia" w:hAnsiTheme="majorEastAsia" w:eastAsiaTheme="majorEastAsia"/>
                <w:kern w:val="0"/>
                <w:szCs w:val="21"/>
                <w:lang w:val="en-US" w:eastAsia="zh-CN"/>
              </w:rPr>
              <w:t>5</w:t>
            </w:r>
          </w:p>
        </w:tc>
        <w:tc>
          <w:tcPr>
            <w:tcW w:w="4553" w:type="pct"/>
            <w:tcBorders>
              <w:top w:val="single" w:color="auto" w:sz="4" w:space="0"/>
              <w:left w:val="single" w:color="auto" w:sz="4" w:space="0"/>
              <w:bottom w:val="single" w:color="auto" w:sz="4" w:space="0"/>
              <w:right w:val="single" w:color="auto" w:sz="4" w:space="0"/>
            </w:tcBorders>
            <w:vAlign w:val="center"/>
          </w:tcPr>
          <w:p w14:paraId="1112D795">
            <w:pPr>
              <w:spacing w:line="360" w:lineRule="auto"/>
              <w:jc w:val="left"/>
              <w:rPr>
                <w:rFonts w:cs="微软雅黑" w:asciiTheme="majorEastAsia" w:hAnsiTheme="majorEastAsia" w:eastAsiaTheme="majorEastAsia"/>
                <w:kern w:val="0"/>
                <w:szCs w:val="21"/>
              </w:rPr>
            </w:pPr>
            <w:r>
              <w:rPr>
                <w:rFonts w:hint="eastAsia" w:cs="微软雅黑" w:asciiTheme="majorEastAsia" w:hAnsiTheme="majorEastAsia" w:eastAsiaTheme="majorEastAsia"/>
                <w:kern w:val="0"/>
                <w:szCs w:val="21"/>
              </w:rPr>
              <w:t>本次样品采用盲样，样品中不得出现投标单位名称、标识、</w:t>
            </w:r>
            <w:r>
              <w:rPr>
                <w:rFonts w:cs="微软雅黑" w:asciiTheme="majorEastAsia" w:hAnsiTheme="majorEastAsia" w:eastAsiaTheme="majorEastAsia"/>
                <w:kern w:val="0"/>
                <w:szCs w:val="21"/>
              </w:rPr>
              <w:t>LOGO</w:t>
            </w:r>
            <w:r>
              <w:rPr>
                <w:rFonts w:hint="eastAsia" w:cs="微软雅黑" w:asciiTheme="majorEastAsia" w:hAnsiTheme="majorEastAsia" w:eastAsiaTheme="majorEastAsia"/>
                <w:kern w:val="0"/>
                <w:szCs w:val="21"/>
              </w:rPr>
              <w:t>等标记。</w:t>
            </w:r>
          </w:p>
        </w:tc>
      </w:tr>
    </w:tbl>
    <w:p w14:paraId="73697ACB">
      <w:pPr>
        <w:spacing w:line="360" w:lineRule="auto"/>
        <w:outlineLvl w:val="0"/>
        <w:rPr>
          <w:rFonts w:cs="微软雅黑" w:asciiTheme="majorEastAsia" w:hAnsiTheme="majorEastAsia" w:eastAsiaTheme="majorEastAsia"/>
          <w:szCs w:val="21"/>
        </w:rPr>
      </w:pPr>
      <w:r>
        <w:rPr>
          <w:rFonts w:hint="eastAsia" w:ascii="Arial" w:hAnsi="Arial" w:cs="Arial"/>
          <w:szCs w:val="21"/>
        </w:rPr>
        <w:t>2、</w:t>
      </w:r>
      <w:r>
        <w:rPr>
          <w:rFonts w:hint="eastAsia" w:cs="微软雅黑" w:asciiTheme="majorEastAsia" w:hAnsiTheme="majorEastAsia" w:eastAsiaTheme="majorEastAsia"/>
          <w:szCs w:val="21"/>
        </w:rPr>
        <w:t>注意事项</w:t>
      </w:r>
    </w:p>
    <w:p w14:paraId="14C4ACBA">
      <w:pPr>
        <w:spacing w:line="360" w:lineRule="auto"/>
        <w:ind w:firstLine="420" w:firstLineChars="200"/>
        <w:rPr>
          <w:rFonts w:cs="微软雅黑" w:asciiTheme="majorEastAsia" w:hAnsiTheme="majorEastAsia" w:eastAsiaTheme="majorEastAsia"/>
          <w:szCs w:val="21"/>
        </w:rPr>
      </w:pPr>
      <w:r>
        <w:rPr>
          <w:rFonts w:hint="eastAsia" w:cs="微软雅黑" w:asciiTheme="majorEastAsia" w:hAnsiTheme="majorEastAsia" w:eastAsiaTheme="majorEastAsia"/>
          <w:szCs w:val="21"/>
        </w:rPr>
        <w:t>本项目样品评审采用盲评形式，投标人须按要求提供样品：</w:t>
      </w:r>
    </w:p>
    <w:p w14:paraId="5A16906B">
      <w:pPr>
        <w:spacing w:line="360" w:lineRule="auto"/>
        <w:rPr>
          <w:rFonts w:cs="微软雅黑" w:asciiTheme="majorEastAsia" w:hAnsiTheme="majorEastAsia" w:eastAsiaTheme="majorEastAsia"/>
          <w:szCs w:val="21"/>
        </w:rPr>
      </w:pPr>
      <w:r>
        <w:rPr>
          <w:rFonts w:hint="eastAsia" w:cs="微软雅黑" w:asciiTheme="majorEastAsia" w:hAnsiTheme="majorEastAsia" w:eastAsiaTheme="majorEastAsia"/>
          <w:szCs w:val="21"/>
        </w:rPr>
        <w:t>1）、投标人须按收货人要求自行将样品放置在指定位置。</w:t>
      </w:r>
    </w:p>
    <w:p w14:paraId="5D1D2A9D">
      <w:pPr>
        <w:spacing w:line="360" w:lineRule="auto"/>
        <w:rPr>
          <w:rFonts w:cs="微软雅黑" w:asciiTheme="majorEastAsia" w:hAnsiTheme="majorEastAsia" w:eastAsiaTheme="majorEastAsia"/>
          <w:szCs w:val="21"/>
        </w:rPr>
      </w:pPr>
      <w:r>
        <w:rPr>
          <w:rFonts w:hint="eastAsia" w:cs="微软雅黑" w:asciiTheme="majorEastAsia" w:hAnsiTheme="majorEastAsia" w:eastAsiaTheme="majorEastAsia"/>
          <w:szCs w:val="21"/>
        </w:rPr>
        <w:t>2）、投标人自行拆除样品包装，并将现场包装材料清理干净，并将样品与代理机构进行交接，由代理机构登记并分配盲评编号。</w:t>
      </w:r>
    </w:p>
    <w:p w14:paraId="424B3959">
      <w:pPr>
        <w:spacing w:line="360" w:lineRule="auto"/>
        <w:rPr>
          <w:rFonts w:cs="微软雅黑" w:asciiTheme="majorEastAsia" w:hAnsiTheme="majorEastAsia" w:eastAsiaTheme="majorEastAsia"/>
          <w:szCs w:val="21"/>
        </w:rPr>
      </w:pPr>
      <w:r>
        <w:rPr>
          <w:rFonts w:hint="eastAsia" w:cs="微软雅黑" w:asciiTheme="majorEastAsia" w:hAnsiTheme="majorEastAsia" w:eastAsiaTheme="majorEastAsia"/>
          <w:szCs w:val="21"/>
        </w:rPr>
        <w:t>3）、投标样品上的公司名称、公司LOGO等信息，投标人应提前密封处理，并在拆除包装后现场自行再次确认密封情况。</w:t>
      </w:r>
    </w:p>
    <w:p w14:paraId="765CE752">
      <w:pPr>
        <w:spacing w:line="360" w:lineRule="auto"/>
        <w:outlineLvl w:val="0"/>
        <w:rPr>
          <w:rFonts w:cs="微软雅黑" w:asciiTheme="majorEastAsia" w:hAnsiTheme="majorEastAsia" w:eastAsiaTheme="majorEastAsia"/>
          <w:szCs w:val="21"/>
        </w:rPr>
      </w:pPr>
      <w:r>
        <w:rPr>
          <w:rFonts w:hint="eastAsia" w:cs="微软雅黑" w:asciiTheme="majorEastAsia" w:hAnsiTheme="majorEastAsia" w:eastAsiaTheme="majorEastAsia"/>
          <w:szCs w:val="21"/>
        </w:rPr>
        <w:t>3、样品接收</w:t>
      </w:r>
    </w:p>
    <w:p w14:paraId="27968FB2">
      <w:pPr>
        <w:spacing w:line="360" w:lineRule="auto"/>
        <w:ind w:firstLine="420" w:firstLineChars="200"/>
        <w:rPr>
          <w:rFonts w:cs="微软雅黑" w:asciiTheme="majorEastAsia" w:hAnsiTheme="majorEastAsia" w:eastAsiaTheme="majorEastAsia"/>
          <w:color w:val="EE0000"/>
          <w:szCs w:val="21"/>
        </w:rPr>
      </w:pPr>
      <w:r>
        <w:rPr>
          <w:rFonts w:hint="eastAsia" w:cs="微软雅黑" w:asciiTheme="majorEastAsia" w:hAnsiTheme="majorEastAsia" w:eastAsiaTheme="majorEastAsia"/>
          <w:szCs w:val="21"/>
        </w:rPr>
        <w:t>1）</w:t>
      </w:r>
      <w:r>
        <w:rPr>
          <w:rFonts w:hint="eastAsia" w:cs="微软雅黑" w:asciiTheme="majorEastAsia" w:hAnsiTheme="majorEastAsia" w:eastAsiaTheme="majorEastAsia"/>
          <w:color w:val="EE0000"/>
          <w:szCs w:val="21"/>
        </w:rPr>
        <w:t>评标样品递交地点：南京市</w:t>
      </w:r>
      <w:r>
        <w:rPr>
          <w:rFonts w:hint="eastAsia" w:cs="微软雅黑" w:asciiTheme="majorEastAsia" w:hAnsiTheme="majorEastAsia" w:eastAsiaTheme="majorEastAsia"/>
          <w:color w:val="EE0000"/>
          <w:szCs w:val="21"/>
          <w:lang w:val="en-US" w:eastAsia="zh-CN"/>
        </w:rPr>
        <w:t>鼓楼区南祖师庵7号安平楼（江苏省通信建设交易中心）</w:t>
      </w:r>
      <w:r>
        <w:rPr>
          <w:rFonts w:hint="eastAsia" w:cs="微软雅黑" w:asciiTheme="majorEastAsia" w:hAnsiTheme="majorEastAsia" w:eastAsiaTheme="majorEastAsia"/>
          <w:color w:val="EE0000"/>
          <w:szCs w:val="21"/>
        </w:rPr>
        <w:t>。</w:t>
      </w:r>
    </w:p>
    <w:p w14:paraId="5B855732">
      <w:pPr>
        <w:spacing w:line="360" w:lineRule="auto"/>
        <w:ind w:firstLine="420" w:firstLineChars="200"/>
        <w:rPr>
          <w:rFonts w:hint="default" w:cs="微软雅黑" w:asciiTheme="majorEastAsia" w:hAnsiTheme="majorEastAsia" w:eastAsiaTheme="majorEastAsia"/>
          <w:color w:val="EE0000"/>
          <w:szCs w:val="21"/>
          <w:lang w:val="en-US" w:eastAsia="zh-CN"/>
        </w:rPr>
      </w:pPr>
      <w:r>
        <w:rPr>
          <w:rFonts w:hint="eastAsia" w:cs="微软雅黑" w:asciiTheme="majorEastAsia" w:hAnsiTheme="majorEastAsia" w:eastAsiaTheme="majorEastAsia"/>
          <w:color w:val="EE0000"/>
          <w:szCs w:val="21"/>
          <w:lang w:val="en-US" w:eastAsia="zh-CN"/>
        </w:rPr>
        <w:t>2</w:t>
      </w:r>
      <w:r>
        <w:rPr>
          <w:rFonts w:hint="eastAsia" w:cs="微软雅黑" w:asciiTheme="majorEastAsia" w:hAnsiTheme="majorEastAsia" w:eastAsiaTheme="majorEastAsia"/>
          <w:color w:val="EE0000"/>
          <w:szCs w:val="21"/>
        </w:rPr>
        <w:t>）评标样品递交截止时间：</w:t>
      </w:r>
      <w:r>
        <w:rPr>
          <w:rFonts w:hint="eastAsia" w:cs="微软雅黑" w:asciiTheme="majorEastAsia" w:hAnsiTheme="majorEastAsia" w:eastAsiaTheme="majorEastAsia"/>
          <w:color w:val="EE0000"/>
          <w:szCs w:val="21"/>
          <w:lang w:val="en-US" w:eastAsia="zh-CN"/>
        </w:rPr>
        <w:t>同投标截止时间</w:t>
      </w:r>
    </w:p>
    <w:p w14:paraId="345A6EF4">
      <w:pPr>
        <w:spacing w:line="360" w:lineRule="auto"/>
        <w:ind w:firstLine="420" w:firstLineChars="200"/>
        <w:rPr>
          <w:rFonts w:cs="微软雅黑" w:asciiTheme="majorEastAsia" w:hAnsiTheme="majorEastAsia" w:eastAsiaTheme="majorEastAsia"/>
          <w:color w:val="EE0000"/>
          <w:szCs w:val="21"/>
        </w:rPr>
      </w:pPr>
      <w:r>
        <w:rPr>
          <w:rFonts w:hint="eastAsia" w:cs="微软雅黑" w:asciiTheme="majorEastAsia" w:hAnsiTheme="majorEastAsia" w:eastAsiaTheme="majorEastAsia"/>
          <w:color w:val="EE0000"/>
          <w:szCs w:val="21"/>
          <w:lang w:val="en-US" w:eastAsia="zh-CN"/>
        </w:rPr>
        <w:t>3</w:t>
      </w:r>
      <w:r>
        <w:rPr>
          <w:rFonts w:hint="eastAsia" w:cs="微软雅黑" w:asciiTheme="majorEastAsia" w:hAnsiTheme="majorEastAsia" w:eastAsiaTheme="majorEastAsia"/>
          <w:color w:val="EE0000"/>
          <w:szCs w:val="21"/>
        </w:rPr>
        <w:t>）样品接收联系人：</w:t>
      </w:r>
      <w:r>
        <w:rPr>
          <w:rFonts w:hint="eastAsia" w:cs="微软雅黑" w:asciiTheme="majorEastAsia" w:hAnsiTheme="majorEastAsia" w:eastAsiaTheme="majorEastAsia"/>
          <w:color w:val="EE0000"/>
          <w:szCs w:val="21"/>
          <w:lang w:val="en-US" w:eastAsia="zh-CN"/>
        </w:rPr>
        <w:t>李非凡</w:t>
      </w:r>
      <w:r>
        <w:rPr>
          <w:rFonts w:hint="eastAsia" w:cs="微软雅黑" w:asciiTheme="majorEastAsia" w:hAnsiTheme="majorEastAsia" w:eastAsiaTheme="majorEastAsia"/>
          <w:color w:val="EE0000"/>
          <w:szCs w:val="21"/>
        </w:rPr>
        <w:t xml:space="preserve">  </w:t>
      </w:r>
    </w:p>
    <w:p w14:paraId="04763C53">
      <w:pPr>
        <w:spacing w:line="360" w:lineRule="auto"/>
        <w:ind w:firstLine="420" w:firstLineChars="200"/>
        <w:rPr>
          <w:rFonts w:cs="微软雅黑" w:asciiTheme="majorEastAsia" w:hAnsiTheme="majorEastAsia" w:eastAsiaTheme="majorEastAsia"/>
          <w:color w:val="EE0000"/>
          <w:szCs w:val="21"/>
        </w:rPr>
      </w:pPr>
      <w:r>
        <w:rPr>
          <w:rFonts w:hint="eastAsia" w:cs="微软雅黑" w:asciiTheme="majorEastAsia" w:hAnsiTheme="majorEastAsia" w:eastAsiaTheme="majorEastAsia"/>
          <w:color w:val="EE0000"/>
          <w:szCs w:val="21"/>
          <w:lang w:val="en-US" w:eastAsia="zh-CN"/>
        </w:rPr>
        <w:t>4</w:t>
      </w:r>
      <w:r>
        <w:rPr>
          <w:rFonts w:hint="eastAsia" w:cs="微软雅黑" w:asciiTheme="majorEastAsia" w:hAnsiTheme="majorEastAsia" w:eastAsiaTheme="majorEastAsia"/>
          <w:color w:val="EE0000"/>
          <w:szCs w:val="21"/>
        </w:rPr>
        <w:t>）联系电</w:t>
      </w:r>
      <w:r>
        <w:rPr>
          <w:rFonts w:hint="eastAsia" w:cs="微软雅黑" w:asciiTheme="majorEastAsia" w:hAnsiTheme="majorEastAsia" w:eastAsiaTheme="majorEastAsia"/>
          <w:color w:val="EE0000"/>
          <w:szCs w:val="21"/>
          <w:lang w:val="en-US" w:eastAsia="zh-CN"/>
        </w:rPr>
        <w:t>话</w:t>
      </w:r>
      <w:r>
        <w:rPr>
          <w:rFonts w:hint="eastAsia" w:cs="微软雅黑" w:asciiTheme="majorEastAsia" w:hAnsiTheme="majorEastAsia" w:eastAsiaTheme="majorEastAsia"/>
          <w:color w:val="EE0000"/>
          <w:szCs w:val="21"/>
        </w:rPr>
        <w:t>：</w:t>
      </w:r>
      <w:r>
        <w:rPr>
          <w:rFonts w:hint="eastAsia" w:cs="微软雅黑" w:asciiTheme="majorEastAsia" w:hAnsiTheme="majorEastAsia" w:eastAsiaTheme="majorEastAsia"/>
          <w:color w:val="EE0000"/>
          <w:szCs w:val="21"/>
          <w:lang w:val="en-US" w:eastAsia="zh-CN"/>
        </w:rPr>
        <w:t>18362916169</w:t>
      </w:r>
      <w:bookmarkStart w:id="1" w:name="_GoBack"/>
      <w:bookmarkEnd w:id="1"/>
      <w:r>
        <w:rPr>
          <w:rFonts w:hint="eastAsia" w:cs="微软雅黑" w:asciiTheme="majorEastAsia" w:hAnsiTheme="majorEastAsia" w:eastAsiaTheme="majorEastAsia"/>
          <w:color w:val="EE0000"/>
          <w:szCs w:val="21"/>
        </w:rPr>
        <w:t xml:space="preserve">  </w:t>
      </w:r>
    </w:p>
    <w:p w14:paraId="7AF3CE7E">
      <w:pPr>
        <w:spacing w:line="360" w:lineRule="auto"/>
        <w:outlineLvl w:val="0"/>
        <w:rPr>
          <w:rFonts w:cs="微软雅黑" w:asciiTheme="majorEastAsia" w:hAnsiTheme="majorEastAsia" w:eastAsiaTheme="majorEastAsia"/>
          <w:szCs w:val="21"/>
        </w:rPr>
      </w:pPr>
      <w:r>
        <w:rPr>
          <w:rFonts w:hint="eastAsia" w:cs="微软雅黑" w:asciiTheme="majorEastAsia" w:hAnsiTheme="majorEastAsia" w:eastAsiaTheme="majorEastAsia"/>
          <w:szCs w:val="21"/>
        </w:rPr>
        <w:t>4、费用说明</w:t>
      </w:r>
    </w:p>
    <w:p w14:paraId="27A1C7AF">
      <w:pPr>
        <w:spacing w:line="360" w:lineRule="auto"/>
        <w:ind w:firstLine="420" w:firstLineChars="200"/>
        <w:rPr>
          <w:rFonts w:cs="微软雅黑" w:asciiTheme="majorEastAsia" w:hAnsiTheme="majorEastAsia" w:eastAsiaTheme="majorEastAsia"/>
          <w:szCs w:val="21"/>
        </w:rPr>
      </w:pPr>
      <w:r>
        <w:rPr>
          <w:rFonts w:hint="eastAsia" w:cs="微软雅黑" w:asciiTheme="majorEastAsia" w:hAnsiTheme="majorEastAsia" w:eastAsiaTheme="majorEastAsia"/>
          <w:szCs w:val="21"/>
        </w:rPr>
        <w:t>本次样品所有费用（设备费、搬运费及物流费等）需自行承担，</w:t>
      </w:r>
      <w:r>
        <w:rPr>
          <w:rFonts w:hint="eastAsia" w:cs="微软雅黑" w:asciiTheme="majorEastAsia" w:hAnsiTheme="majorEastAsia" w:eastAsiaTheme="majorEastAsia"/>
          <w:szCs w:val="21"/>
          <w:lang w:val="en-US" w:eastAsia="zh-CN"/>
        </w:rPr>
        <w:t>投标人</w:t>
      </w:r>
      <w:r>
        <w:rPr>
          <w:rFonts w:hint="eastAsia" w:cs="微软雅黑" w:asciiTheme="majorEastAsia" w:hAnsiTheme="majorEastAsia" w:eastAsiaTheme="majorEastAsia"/>
          <w:szCs w:val="21"/>
        </w:rPr>
        <w:t>送样的产品将由招标人封样留存，并与今后实际到货进行比对，如实际到货产品与送样样品不一致，招标人将有权取消投标人中标资格并有权要求投标人承担相关违约责任。</w:t>
      </w:r>
    </w:p>
    <w:p w14:paraId="035098B7">
      <w:pPr>
        <w:spacing w:line="360" w:lineRule="auto"/>
        <w:ind w:firstLine="420" w:firstLineChars="200"/>
        <w:rPr>
          <w:rFonts w:cs="微软雅黑" w:asciiTheme="majorEastAsia" w:hAnsiTheme="majorEastAsia" w:eastAsiaTheme="majorEastAsia"/>
          <w:szCs w:val="21"/>
        </w:rPr>
      </w:pPr>
    </w:p>
    <w:p w14:paraId="0BE1F411">
      <w:pPr>
        <w:pStyle w:val="1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suff w:val="nothing"/>
      <w:lvlText w:val="%1"/>
      <w:lvlJc w:val="left"/>
      <w:pPr>
        <w:ind w:left="0" w:firstLine="0"/>
      </w:pPr>
      <w:rPr>
        <w:rFonts w:hint="default" w:ascii="Times New Roman" w:hAnsi="Times New Roman" w:cs="Times New Roman"/>
        <w:b/>
        <w:i w:val="0"/>
        <w:sz w:val="21"/>
      </w:rPr>
    </w:lvl>
    <w:lvl w:ilvl="1" w:tentative="0">
      <w:start w:val="1"/>
      <w:numFmt w:val="decimal"/>
      <w:lvlText w:val="%2．"/>
      <w:lvlJc w:val="left"/>
      <w:pPr>
        <w:ind w:left="0" w:firstLine="0"/>
      </w:pPr>
      <w:rPr>
        <w:rFonts w:hint="default" w:ascii="Arial" w:hAnsi="Arial" w:cs="Times New Roman"/>
        <w:b w:val="0"/>
        <w:i w:val="0"/>
        <w:sz w:val="21"/>
      </w:rPr>
    </w:lvl>
    <w:lvl w:ilvl="2" w:tentative="0">
      <w:start w:val="1"/>
      <w:numFmt w:val="decimal"/>
      <w:suff w:val="nothing"/>
      <w:lvlText w:val="%1%2.%3　"/>
      <w:lvlJc w:val="left"/>
      <w:pPr>
        <w:ind w:left="113" w:hanging="113"/>
      </w:pPr>
      <w:rPr>
        <w:rFonts w:hint="default" w:ascii="Arial" w:hAnsi="Arial" w:eastAsia="黑体" w:cs="Times New Roman"/>
        <w:b w:val="0"/>
        <w:i w:val="0"/>
        <w:sz w:val="21"/>
      </w:rPr>
    </w:lvl>
    <w:lvl w:ilvl="3" w:tentative="0">
      <w:start w:val="1"/>
      <w:numFmt w:val="decimal"/>
      <w:suff w:val="nothing"/>
      <w:lvlText w:val="%1%2.%3.%4　"/>
      <w:lvlJc w:val="left"/>
      <w:pPr>
        <w:ind w:left="794" w:hanging="794"/>
      </w:pPr>
      <w:rPr>
        <w:rFonts w:hint="default" w:ascii="Arial" w:hAnsi="Arial" w:eastAsia="黑体" w:cs="Times New Roman"/>
        <w:b w:val="0"/>
        <w:i w:val="0"/>
        <w:sz w:val="21"/>
      </w:rPr>
    </w:lvl>
    <w:lvl w:ilvl="4" w:tentative="0">
      <w:start w:val="1"/>
      <w:numFmt w:val="decimal"/>
      <w:suff w:val="nothing"/>
      <w:lvlText w:val="%1%2.%3.%4.%5　"/>
      <w:lvlJc w:val="left"/>
      <w:pPr>
        <w:ind w:left="1701" w:hanging="1701"/>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A22"/>
    <w:rsid w:val="000319FC"/>
    <w:rsid w:val="00040E32"/>
    <w:rsid w:val="00067356"/>
    <w:rsid w:val="00096513"/>
    <w:rsid w:val="000D0A23"/>
    <w:rsid w:val="000D2FD1"/>
    <w:rsid w:val="000F7FBA"/>
    <w:rsid w:val="00102C54"/>
    <w:rsid w:val="00104FBC"/>
    <w:rsid w:val="00117C71"/>
    <w:rsid w:val="001224CE"/>
    <w:rsid w:val="00125019"/>
    <w:rsid w:val="00137652"/>
    <w:rsid w:val="00145763"/>
    <w:rsid w:val="00147281"/>
    <w:rsid w:val="00161943"/>
    <w:rsid w:val="00166C0E"/>
    <w:rsid w:val="00186136"/>
    <w:rsid w:val="001A54D0"/>
    <w:rsid w:val="001B2D6D"/>
    <w:rsid w:val="001B3C3E"/>
    <w:rsid w:val="001B52FF"/>
    <w:rsid w:val="001C765D"/>
    <w:rsid w:val="00205AE7"/>
    <w:rsid w:val="00207A2E"/>
    <w:rsid w:val="00210DD3"/>
    <w:rsid w:val="00220272"/>
    <w:rsid w:val="0023157F"/>
    <w:rsid w:val="00243138"/>
    <w:rsid w:val="00254E81"/>
    <w:rsid w:val="002552EE"/>
    <w:rsid w:val="00255636"/>
    <w:rsid w:val="002627E8"/>
    <w:rsid w:val="00283B2E"/>
    <w:rsid w:val="002907AF"/>
    <w:rsid w:val="002A348E"/>
    <w:rsid w:val="002A730D"/>
    <w:rsid w:val="002A7760"/>
    <w:rsid w:val="002B00E9"/>
    <w:rsid w:val="002B31FE"/>
    <w:rsid w:val="00312F77"/>
    <w:rsid w:val="00315914"/>
    <w:rsid w:val="00342D4D"/>
    <w:rsid w:val="00343966"/>
    <w:rsid w:val="00345309"/>
    <w:rsid w:val="00346262"/>
    <w:rsid w:val="00351FA2"/>
    <w:rsid w:val="0035519E"/>
    <w:rsid w:val="00355B02"/>
    <w:rsid w:val="00397F81"/>
    <w:rsid w:val="003A291E"/>
    <w:rsid w:val="003A6CFF"/>
    <w:rsid w:val="003C34F8"/>
    <w:rsid w:val="003F19F9"/>
    <w:rsid w:val="003F3CB5"/>
    <w:rsid w:val="004112F6"/>
    <w:rsid w:val="00415064"/>
    <w:rsid w:val="00426091"/>
    <w:rsid w:val="0045382A"/>
    <w:rsid w:val="00460972"/>
    <w:rsid w:val="00466225"/>
    <w:rsid w:val="00467B65"/>
    <w:rsid w:val="00475CD3"/>
    <w:rsid w:val="004A1DC1"/>
    <w:rsid w:val="00510ADB"/>
    <w:rsid w:val="00512E20"/>
    <w:rsid w:val="00526444"/>
    <w:rsid w:val="00545F73"/>
    <w:rsid w:val="0054692C"/>
    <w:rsid w:val="0056267F"/>
    <w:rsid w:val="005939D4"/>
    <w:rsid w:val="00594BE3"/>
    <w:rsid w:val="005A1786"/>
    <w:rsid w:val="005A60D8"/>
    <w:rsid w:val="005A6AB9"/>
    <w:rsid w:val="005D70EF"/>
    <w:rsid w:val="005F16C7"/>
    <w:rsid w:val="005F485D"/>
    <w:rsid w:val="005F7AFA"/>
    <w:rsid w:val="00625F80"/>
    <w:rsid w:val="006440CE"/>
    <w:rsid w:val="0065772B"/>
    <w:rsid w:val="006843ED"/>
    <w:rsid w:val="00687C80"/>
    <w:rsid w:val="006B2E3B"/>
    <w:rsid w:val="006C0F78"/>
    <w:rsid w:val="006D20DB"/>
    <w:rsid w:val="006D40EE"/>
    <w:rsid w:val="006F5D63"/>
    <w:rsid w:val="0070207D"/>
    <w:rsid w:val="00716527"/>
    <w:rsid w:val="00747912"/>
    <w:rsid w:val="00770885"/>
    <w:rsid w:val="00786ED2"/>
    <w:rsid w:val="00795A40"/>
    <w:rsid w:val="00795C2E"/>
    <w:rsid w:val="007B17AE"/>
    <w:rsid w:val="007B7050"/>
    <w:rsid w:val="007C054A"/>
    <w:rsid w:val="007F21FE"/>
    <w:rsid w:val="008105D7"/>
    <w:rsid w:val="00811203"/>
    <w:rsid w:val="008320C1"/>
    <w:rsid w:val="00852631"/>
    <w:rsid w:val="00856166"/>
    <w:rsid w:val="00856617"/>
    <w:rsid w:val="00870905"/>
    <w:rsid w:val="00872045"/>
    <w:rsid w:val="0089160D"/>
    <w:rsid w:val="008B77F7"/>
    <w:rsid w:val="008C1F31"/>
    <w:rsid w:val="008D1327"/>
    <w:rsid w:val="00905A53"/>
    <w:rsid w:val="0091165E"/>
    <w:rsid w:val="0091425E"/>
    <w:rsid w:val="00916D39"/>
    <w:rsid w:val="0093099C"/>
    <w:rsid w:val="00963F4B"/>
    <w:rsid w:val="00966DF2"/>
    <w:rsid w:val="00967A1C"/>
    <w:rsid w:val="009712F4"/>
    <w:rsid w:val="009727E2"/>
    <w:rsid w:val="009B6B4B"/>
    <w:rsid w:val="009C4270"/>
    <w:rsid w:val="009D62F0"/>
    <w:rsid w:val="009E173D"/>
    <w:rsid w:val="00A2146D"/>
    <w:rsid w:val="00A42226"/>
    <w:rsid w:val="00A5511B"/>
    <w:rsid w:val="00A5651E"/>
    <w:rsid w:val="00A64D4D"/>
    <w:rsid w:val="00A7370A"/>
    <w:rsid w:val="00A81D9C"/>
    <w:rsid w:val="00A92571"/>
    <w:rsid w:val="00AA219D"/>
    <w:rsid w:val="00AB70FC"/>
    <w:rsid w:val="00AC2F8F"/>
    <w:rsid w:val="00AC6BAF"/>
    <w:rsid w:val="00AD2305"/>
    <w:rsid w:val="00AD4F8F"/>
    <w:rsid w:val="00AE576B"/>
    <w:rsid w:val="00AF2ADF"/>
    <w:rsid w:val="00B05CA0"/>
    <w:rsid w:val="00B07531"/>
    <w:rsid w:val="00B1193F"/>
    <w:rsid w:val="00B15BAC"/>
    <w:rsid w:val="00B23235"/>
    <w:rsid w:val="00B31A35"/>
    <w:rsid w:val="00B42D46"/>
    <w:rsid w:val="00B5602A"/>
    <w:rsid w:val="00B67606"/>
    <w:rsid w:val="00B9493D"/>
    <w:rsid w:val="00BC190C"/>
    <w:rsid w:val="00BC7E0F"/>
    <w:rsid w:val="00BD1691"/>
    <w:rsid w:val="00BD4A22"/>
    <w:rsid w:val="00C16610"/>
    <w:rsid w:val="00C177EC"/>
    <w:rsid w:val="00C17D23"/>
    <w:rsid w:val="00C336D4"/>
    <w:rsid w:val="00C34FBD"/>
    <w:rsid w:val="00C56B16"/>
    <w:rsid w:val="00C57A29"/>
    <w:rsid w:val="00C74F02"/>
    <w:rsid w:val="00C77F8D"/>
    <w:rsid w:val="00CA2857"/>
    <w:rsid w:val="00CB1B8C"/>
    <w:rsid w:val="00CB617A"/>
    <w:rsid w:val="00CD2BE1"/>
    <w:rsid w:val="00CF28F9"/>
    <w:rsid w:val="00CF2B72"/>
    <w:rsid w:val="00CF44E2"/>
    <w:rsid w:val="00D02ECC"/>
    <w:rsid w:val="00D03753"/>
    <w:rsid w:val="00D118F3"/>
    <w:rsid w:val="00D13F1C"/>
    <w:rsid w:val="00D20E49"/>
    <w:rsid w:val="00D23020"/>
    <w:rsid w:val="00D319F4"/>
    <w:rsid w:val="00D3348B"/>
    <w:rsid w:val="00D72727"/>
    <w:rsid w:val="00D74C9D"/>
    <w:rsid w:val="00D77077"/>
    <w:rsid w:val="00D8753F"/>
    <w:rsid w:val="00D90FAD"/>
    <w:rsid w:val="00D92EAA"/>
    <w:rsid w:val="00DA6FE5"/>
    <w:rsid w:val="00DB6B97"/>
    <w:rsid w:val="00DD5D6D"/>
    <w:rsid w:val="00DE2D8A"/>
    <w:rsid w:val="00DE3772"/>
    <w:rsid w:val="00DF28C9"/>
    <w:rsid w:val="00E018B3"/>
    <w:rsid w:val="00E22561"/>
    <w:rsid w:val="00E64776"/>
    <w:rsid w:val="00E958BC"/>
    <w:rsid w:val="00EA5A26"/>
    <w:rsid w:val="00ED04D3"/>
    <w:rsid w:val="00ED180B"/>
    <w:rsid w:val="00EF2056"/>
    <w:rsid w:val="00F07A80"/>
    <w:rsid w:val="00F34C47"/>
    <w:rsid w:val="00F61663"/>
    <w:rsid w:val="00F73D15"/>
    <w:rsid w:val="00F74027"/>
    <w:rsid w:val="00FB0F28"/>
    <w:rsid w:val="00FB23D8"/>
    <w:rsid w:val="00FB30C3"/>
    <w:rsid w:val="00FC46E1"/>
    <w:rsid w:val="00FE73EC"/>
    <w:rsid w:val="00FF1D4D"/>
    <w:rsid w:val="0D1854D8"/>
    <w:rsid w:val="0D9A2C75"/>
    <w:rsid w:val="191432AC"/>
    <w:rsid w:val="1BBD38C4"/>
    <w:rsid w:val="211D1A8E"/>
    <w:rsid w:val="2D30186F"/>
    <w:rsid w:val="38A9299F"/>
    <w:rsid w:val="42BF414A"/>
    <w:rsid w:val="48097DEA"/>
    <w:rsid w:val="5951693F"/>
    <w:rsid w:val="61397A57"/>
    <w:rsid w:val="6C801107"/>
    <w:rsid w:val="74D8030D"/>
    <w:rsid w:val="7A125DE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8"/>
    <w:semiHidden/>
    <w:unhideWhenUsed/>
    <w:qFormat/>
    <w:uiPriority w:val="99"/>
    <w:rPr>
      <w:b/>
      <w:bCs/>
    </w:rPr>
  </w:style>
  <w:style w:type="character" w:styleId="9">
    <w:name w:val="annotation reference"/>
    <w:basedOn w:val="8"/>
    <w:semiHidden/>
    <w:unhideWhenUsed/>
    <w:qFormat/>
    <w:uiPriority w:val="99"/>
    <w:rPr>
      <w:sz w:val="21"/>
      <w:szCs w:val="21"/>
    </w:rPr>
  </w:style>
  <w:style w:type="paragraph" w:customStyle="1" w:styleId="10">
    <w:name w:val="Char"/>
    <w:basedOn w:val="11"/>
    <w:next w:val="1"/>
    <w:semiHidden/>
    <w:qFormat/>
    <w:uiPriority w:val="0"/>
    <w:rPr>
      <w:rFonts w:ascii="Tahoma" w:hAnsi="Tahoma" w:cs="Tahoma"/>
      <w:sz w:val="18"/>
      <w:szCs w:val="24"/>
    </w:rPr>
  </w:style>
  <w:style w:type="paragraph" w:customStyle="1" w:styleId="11">
    <w:name w:val="*正文"/>
    <w:basedOn w:val="1"/>
    <w:qFormat/>
    <w:uiPriority w:val="0"/>
  </w:style>
  <w:style w:type="paragraph" w:styleId="12">
    <w:name w:val="List Paragraph"/>
    <w:basedOn w:val="1"/>
    <w:qFormat/>
    <w:uiPriority w:val="34"/>
    <w:pPr>
      <w:ind w:firstLine="420" w:firstLineChars="200"/>
    </w:pPr>
  </w:style>
  <w:style w:type="paragraph" w:customStyle="1" w:styleId="13">
    <w:name w:val="reader-word-layer"/>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4">
    <w:name w:val="页眉 字符"/>
    <w:basedOn w:val="8"/>
    <w:link w:val="5"/>
    <w:qFormat/>
    <w:uiPriority w:val="99"/>
    <w:rPr>
      <w:sz w:val="18"/>
      <w:szCs w:val="18"/>
    </w:rPr>
  </w:style>
  <w:style w:type="character" w:customStyle="1" w:styleId="15">
    <w:name w:val="页脚 字符"/>
    <w:basedOn w:val="8"/>
    <w:link w:val="4"/>
    <w:qFormat/>
    <w:uiPriority w:val="99"/>
    <w:rPr>
      <w:sz w:val="18"/>
      <w:szCs w:val="18"/>
    </w:rPr>
  </w:style>
  <w:style w:type="character" w:customStyle="1" w:styleId="16">
    <w:name w:val="批注框文本 字符"/>
    <w:basedOn w:val="8"/>
    <w:link w:val="3"/>
    <w:semiHidden/>
    <w:qFormat/>
    <w:uiPriority w:val="99"/>
    <w:rPr>
      <w:sz w:val="18"/>
      <w:szCs w:val="18"/>
    </w:rPr>
  </w:style>
  <w:style w:type="character" w:customStyle="1" w:styleId="17">
    <w:name w:val="批注文字 字符"/>
    <w:basedOn w:val="8"/>
    <w:link w:val="2"/>
    <w:semiHidden/>
    <w:qFormat/>
    <w:uiPriority w:val="99"/>
  </w:style>
  <w:style w:type="character" w:customStyle="1" w:styleId="18">
    <w:name w:val="批注主题 字符"/>
    <w:basedOn w:val="17"/>
    <w:link w:val="6"/>
    <w:semiHidden/>
    <w:qFormat/>
    <w:uiPriority w:val="99"/>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66348-3E13-4F85-B0A2-CD3004C6857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488</Words>
  <Characters>533</Characters>
  <Lines>20</Lines>
  <Paragraphs>30</Paragraphs>
  <TotalTime>6</TotalTime>
  <ScaleCrop>false</ScaleCrop>
  <LinksUpToDate>false</LinksUpToDate>
  <CharactersWithSpaces>540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2026-03-11T08:57:00Z</dcterms:created>
  <dc:creator>think</dc:creator>
  <cp:lastModifiedBy>F～</cp:lastModifiedBy>
  <dcterms:modified xsi:type="dcterms:W3CDTF">2026-03-19T07:41:29Z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4C25EBADB7D7426199CF6B09F762272B_13</vt:lpwstr>
  </property>
  <property fmtid="{D5CDD505-2E9C-101B-9397-08002B2CF9AE}" pid="4" name="KSOTemplateDocerSaveRecord">
    <vt:lpwstr>eyJoZGlkIjoiZDdiM2QwNjQ2OTVlMDI4YWZiMDZlMzViZThmYjYyZjciLCJ1c2VySWQiOiIzOTE5MzI3NTkifQ==</vt:lpwstr>
  </property>
</Properties>
</file>